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F67" w:rsidRDefault="00A50F67" w:rsidP="00A50F67">
      <w:pPr>
        <w:spacing w:line="480" w:lineRule="auto"/>
        <w:jc w:val="center"/>
        <w:rPr>
          <w:rFonts w:ascii="Times New Roman" w:hAnsi="Times New Roman" w:cs="Times New Roman"/>
          <w:b/>
          <w:sz w:val="24"/>
          <w:szCs w:val="24"/>
        </w:rPr>
      </w:pPr>
    </w:p>
    <w:p w:rsidR="00A50F67" w:rsidRPr="00A50F67" w:rsidRDefault="00A50F67" w:rsidP="00A50F67">
      <w:pPr>
        <w:spacing w:line="480" w:lineRule="auto"/>
        <w:jc w:val="center"/>
        <w:rPr>
          <w:rFonts w:ascii="Times New Roman" w:hAnsi="Times New Roman" w:cs="Times New Roman"/>
          <w:b/>
          <w:sz w:val="24"/>
          <w:szCs w:val="24"/>
        </w:rPr>
      </w:pPr>
      <w:r w:rsidRPr="00A50F67">
        <w:rPr>
          <w:rFonts w:ascii="Times New Roman" w:hAnsi="Times New Roman" w:cs="Times New Roman"/>
          <w:b/>
          <w:sz w:val="24"/>
          <w:szCs w:val="24"/>
        </w:rPr>
        <w:t>Affordable care Act analysis</w:t>
      </w:r>
    </w:p>
    <w:p w:rsidR="00A50F67" w:rsidRPr="00DA0F1A" w:rsidRDefault="00A50F67" w:rsidP="00A50F67">
      <w:pPr>
        <w:spacing w:line="480" w:lineRule="auto"/>
        <w:jc w:val="center"/>
        <w:rPr>
          <w:rFonts w:ascii="Times New Roman" w:hAnsi="Times New Roman" w:cs="Times New Roman"/>
          <w:sz w:val="24"/>
          <w:szCs w:val="24"/>
          <w:shd w:val="clear" w:color="auto" w:fill="FFFFFF"/>
        </w:rPr>
      </w:pPr>
    </w:p>
    <w:p w:rsidR="00A50F67" w:rsidRPr="00DA0F1A" w:rsidRDefault="00A50F67" w:rsidP="00A50F67">
      <w:pPr>
        <w:spacing w:line="480" w:lineRule="auto"/>
        <w:jc w:val="center"/>
        <w:rPr>
          <w:rFonts w:ascii="Times New Roman" w:hAnsi="Times New Roman" w:cs="Times New Roman"/>
          <w:sz w:val="24"/>
          <w:szCs w:val="24"/>
          <w:shd w:val="clear" w:color="auto" w:fill="FFFFFF"/>
        </w:rPr>
      </w:pPr>
    </w:p>
    <w:p w:rsidR="00A50F67" w:rsidRPr="00DA0F1A" w:rsidRDefault="00A50F67" w:rsidP="00A50F67">
      <w:pPr>
        <w:spacing w:line="480" w:lineRule="auto"/>
        <w:jc w:val="center"/>
        <w:rPr>
          <w:rFonts w:ascii="Times New Roman" w:hAnsi="Times New Roman" w:cs="Times New Roman"/>
          <w:sz w:val="24"/>
          <w:szCs w:val="24"/>
          <w:shd w:val="clear" w:color="auto" w:fill="FFFFFF"/>
        </w:rPr>
      </w:pPr>
    </w:p>
    <w:p w:rsidR="00A50F67" w:rsidRPr="00DA0F1A" w:rsidRDefault="00A50F67" w:rsidP="00A50F67">
      <w:pPr>
        <w:spacing w:line="480" w:lineRule="auto"/>
        <w:jc w:val="center"/>
        <w:rPr>
          <w:rFonts w:ascii="Times New Roman" w:hAnsi="Times New Roman" w:cs="Times New Roman"/>
          <w:sz w:val="24"/>
          <w:szCs w:val="24"/>
          <w:shd w:val="clear" w:color="auto" w:fill="FFFFFF"/>
        </w:rPr>
      </w:pPr>
      <w:r w:rsidRPr="00DA0F1A">
        <w:rPr>
          <w:rFonts w:ascii="Times New Roman" w:hAnsi="Times New Roman" w:cs="Times New Roman"/>
          <w:sz w:val="24"/>
          <w:szCs w:val="24"/>
          <w:shd w:val="clear" w:color="auto" w:fill="FFFFFF"/>
        </w:rPr>
        <w:t>Author Name</w:t>
      </w:r>
    </w:p>
    <w:p w:rsidR="00A50F67" w:rsidRPr="00DA0F1A" w:rsidRDefault="00A50F67" w:rsidP="00A50F67">
      <w:pPr>
        <w:spacing w:line="480" w:lineRule="auto"/>
        <w:jc w:val="center"/>
        <w:rPr>
          <w:rFonts w:ascii="Times New Roman" w:hAnsi="Times New Roman" w:cs="Times New Roman"/>
          <w:sz w:val="24"/>
          <w:szCs w:val="24"/>
          <w:shd w:val="clear" w:color="auto" w:fill="FFFFFF"/>
        </w:rPr>
      </w:pPr>
      <w:r w:rsidRPr="00DA0F1A">
        <w:rPr>
          <w:rFonts w:ascii="Times New Roman" w:hAnsi="Times New Roman" w:cs="Times New Roman"/>
          <w:sz w:val="24"/>
          <w:szCs w:val="24"/>
          <w:shd w:val="clear" w:color="auto" w:fill="FFFFFF"/>
        </w:rPr>
        <w:t>Affiliation</w:t>
      </w:r>
    </w:p>
    <w:p w:rsidR="00A50F67" w:rsidRPr="00DA0F1A" w:rsidRDefault="00A50F67" w:rsidP="00A50F67">
      <w:pPr>
        <w:spacing w:line="480" w:lineRule="auto"/>
        <w:jc w:val="center"/>
        <w:rPr>
          <w:rFonts w:ascii="Times New Roman" w:hAnsi="Times New Roman" w:cs="Times New Roman"/>
          <w:sz w:val="24"/>
          <w:szCs w:val="24"/>
          <w:shd w:val="clear" w:color="auto" w:fill="FFFFFF"/>
        </w:rPr>
      </w:pPr>
      <w:r w:rsidRPr="00DA0F1A">
        <w:rPr>
          <w:rFonts w:ascii="Times New Roman" w:hAnsi="Times New Roman" w:cs="Times New Roman"/>
          <w:sz w:val="24"/>
          <w:szCs w:val="24"/>
          <w:shd w:val="clear" w:color="auto" w:fill="FFFFFF"/>
        </w:rPr>
        <w:t>Course</w:t>
      </w:r>
    </w:p>
    <w:p w:rsidR="00A50F67" w:rsidRPr="00DA0F1A" w:rsidRDefault="00A50F67" w:rsidP="00A50F67">
      <w:pPr>
        <w:spacing w:line="480" w:lineRule="auto"/>
        <w:jc w:val="center"/>
        <w:rPr>
          <w:rFonts w:ascii="Times New Roman" w:hAnsi="Times New Roman" w:cs="Times New Roman"/>
          <w:sz w:val="24"/>
          <w:szCs w:val="24"/>
          <w:shd w:val="clear" w:color="auto" w:fill="FFFFFF"/>
        </w:rPr>
      </w:pPr>
      <w:r w:rsidRPr="00DA0F1A">
        <w:rPr>
          <w:rFonts w:ascii="Times New Roman" w:hAnsi="Times New Roman" w:cs="Times New Roman"/>
          <w:sz w:val="24"/>
          <w:szCs w:val="24"/>
          <w:shd w:val="clear" w:color="auto" w:fill="FFFFFF"/>
        </w:rPr>
        <w:t xml:space="preserve">Instructor </w:t>
      </w:r>
    </w:p>
    <w:p w:rsidR="00A50F67" w:rsidRPr="00DA0F1A" w:rsidRDefault="00A50F67" w:rsidP="00A50F67">
      <w:pPr>
        <w:spacing w:line="480" w:lineRule="auto"/>
        <w:jc w:val="center"/>
        <w:rPr>
          <w:rFonts w:ascii="Times New Roman" w:hAnsi="Times New Roman" w:cs="Times New Roman"/>
          <w:sz w:val="24"/>
          <w:szCs w:val="24"/>
          <w:shd w:val="clear" w:color="auto" w:fill="FFFFFF"/>
        </w:rPr>
      </w:pPr>
      <w:r w:rsidRPr="00DA0F1A">
        <w:rPr>
          <w:rFonts w:ascii="Times New Roman" w:hAnsi="Times New Roman" w:cs="Times New Roman"/>
          <w:sz w:val="24"/>
          <w:szCs w:val="24"/>
          <w:shd w:val="clear" w:color="auto" w:fill="FFFFFF"/>
        </w:rPr>
        <w:t xml:space="preserve">Date </w:t>
      </w: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50F67" w:rsidRDefault="00A50F67" w:rsidP="00A50F67">
      <w:pPr>
        <w:spacing w:line="480" w:lineRule="auto"/>
        <w:jc w:val="center"/>
        <w:rPr>
          <w:rFonts w:ascii="Times New Roman" w:hAnsi="Times New Roman" w:cs="Times New Roman"/>
          <w:b/>
          <w:sz w:val="24"/>
          <w:szCs w:val="24"/>
        </w:rPr>
      </w:pPr>
    </w:p>
    <w:p w:rsidR="00AB1906" w:rsidRPr="00A50F67" w:rsidRDefault="00A50F67" w:rsidP="00A50F67">
      <w:pPr>
        <w:spacing w:line="480" w:lineRule="auto"/>
        <w:jc w:val="center"/>
        <w:rPr>
          <w:rFonts w:ascii="Times New Roman" w:hAnsi="Times New Roman" w:cs="Times New Roman"/>
          <w:b/>
          <w:sz w:val="24"/>
          <w:szCs w:val="24"/>
        </w:rPr>
      </w:pPr>
      <w:r w:rsidRPr="00A50F67">
        <w:rPr>
          <w:rFonts w:ascii="Times New Roman" w:hAnsi="Times New Roman" w:cs="Times New Roman"/>
          <w:b/>
          <w:sz w:val="24"/>
          <w:szCs w:val="24"/>
        </w:rPr>
        <w:t>Affordable care Act analysis</w:t>
      </w:r>
    </w:p>
    <w:p w:rsidR="00A50F67" w:rsidRP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rPr>
      </w:pPr>
      <w:r w:rsidRPr="00A50F67">
        <w:rPr>
          <w:rFonts w:ascii="Times New Roman" w:hAnsi="Times New Roman" w:cs="Times New Roman"/>
          <w:sz w:val="24"/>
          <w:szCs w:val="24"/>
        </w:rPr>
        <w:t>The Internal Revenue Service issued a final regulation for the banded prescription medication unrestricted, a yearly quasi tax deduction payment imposed on the producers of branded prescription medications. The regulation covers the Individual patient Prevention Act and the Affordable Healthcare Act. The ACA makes provision</w:t>
      </w:r>
      <w:r>
        <w:rPr>
          <w:rFonts w:ascii="Times New Roman" w:hAnsi="Times New Roman" w:cs="Times New Roman"/>
          <w:sz w:val="24"/>
          <w:szCs w:val="24"/>
        </w:rPr>
        <w:t>s</w:t>
      </w:r>
      <w:r w:rsidRPr="00A50F67">
        <w:rPr>
          <w:rFonts w:ascii="Times New Roman" w:hAnsi="Times New Roman" w:cs="Times New Roman"/>
          <w:sz w:val="24"/>
          <w:szCs w:val="24"/>
        </w:rPr>
        <w:t xml:space="preserve"> </w:t>
      </w:r>
      <w:r>
        <w:rPr>
          <w:rFonts w:ascii="Times New Roman" w:hAnsi="Times New Roman" w:cs="Times New Roman"/>
          <w:sz w:val="24"/>
          <w:szCs w:val="24"/>
        </w:rPr>
        <w:t>to increase access to health insurance, increase consumer protections, emphasize preventative measures and health and well-being, get better performance and process effectiveness, advance the healthcare workforce, and contain</w:t>
      </w:r>
      <w:r w:rsidRPr="00A50F67">
        <w:rPr>
          <w:rFonts w:ascii="Times New Roman" w:hAnsi="Times New Roman" w:cs="Times New Roman"/>
          <w:sz w:val="24"/>
          <w:szCs w:val="24"/>
        </w:rPr>
        <w:t xml:space="preserve"> rising health care costs. The ACA </w:t>
      </w:r>
      <w:r>
        <w:rPr>
          <w:rFonts w:ascii="Times New Roman" w:hAnsi="Times New Roman" w:cs="Times New Roman"/>
          <w:sz w:val="24"/>
          <w:szCs w:val="24"/>
        </w:rPr>
        <w:t>highlights</w:t>
      </w:r>
      <w:r w:rsidRPr="00A50F67">
        <w:rPr>
          <w:rFonts w:ascii="Times New Roman" w:hAnsi="Times New Roman" w:cs="Times New Roman"/>
          <w:sz w:val="24"/>
          <w:szCs w:val="24"/>
        </w:rPr>
        <w:t xml:space="preserve"> roughly 32 million unemployed </w:t>
      </w:r>
      <w:r>
        <w:rPr>
          <w:rFonts w:ascii="Times New Roman" w:hAnsi="Times New Roman" w:cs="Times New Roman"/>
          <w:sz w:val="24"/>
          <w:szCs w:val="24"/>
        </w:rPr>
        <w:t>people in the United States by broadening</w:t>
      </w:r>
      <w:r w:rsidRPr="00A50F67">
        <w:rPr>
          <w:rFonts w:ascii="Times New Roman" w:hAnsi="Times New Roman" w:cs="Times New Roman"/>
          <w:sz w:val="24"/>
          <w:szCs w:val="24"/>
        </w:rPr>
        <w:t xml:space="preserve"> personal and public health coverage.</w:t>
      </w: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r w:rsidRPr="00A50F67">
        <w:rPr>
          <w:rFonts w:ascii="Times New Roman" w:eastAsia="Times New Roman" w:hAnsi="Times New Roman" w:cs="Times New Roman"/>
          <w:sz w:val="24"/>
          <w:szCs w:val="24"/>
        </w:rPr>
        <w:t xml:space="preserve">The central aspect requires the employer to provide coverage for their workers or pay </w:t>
      </w:r>
      <w:r>
        <w:rPr>
          <w:rFonts w:ascii="Times New Roman" w:eastAsia="Times New Roman" w:hAnsi="Times New Roman" w:cs="Times New Roman"/>
          <w:sz w:val="24"/>
          <w:szCs w:val="24"/>
        </w:rPr>
        <w:t>the</w:t>
      </w:r>
      <w:r w:rsidRPr="00A50F67">
        <w:rPr>
          <w:rFonts w:ascii="Times New Roman" w:eastAsia="Times New Roman" w:hAnsi="Times New Roman" w:cs="Times New Roman"/>
          <w:sz w:val="24"/>
          <w:szCs w:val="24"/>
        </w:rPr>
        <w:t xml:space="preserve"> penalty, </w:t>
      </w:r>
      <w:r w:rsidR="004D0B1E">
        <w:rPr>
          <w:rFonts w:ascii="Times New Roman" w:eastAsia="Times New Roman" w:hAnsi="Times New Roman" w:cs="Times New Roman"/>
          <w:sz w:val="24"/>
          <w:szCs w:val="24"/>
        </w:rPr>
        <w:t>excluding</w:t>
      </w:r>
      <w:r w:rsidRPr="00A50F67">
        <w:rPr>
          <w:rFonts w:ascii="Times New Roman" w:eastAsia="Times New Roman" w:hAnsi="Times New Roman" w:cs="Times New Roman"/>
          <w:sz w:val="24"/>
          <w:szCs w:val="24"/>
        </w:rPr>
        <w:t xml:space="preserve"> small firms. In addition, starting in </w:t>
      </w:r>
      <w:r>
        <w:rPr>
          <w:rFonts w:ascii="Times New Roman" w:eastAsia="Times New Roman" w:hAnsi="Times New Roman" w:cs="Times New Roman"/>
          <w:sz w:val="24"/>
          <w:szCs w:val="24"/>
        </w:rPr>
        <w:t xml:space="preserve">the </w:t>
      </w:r>
      <w:r w:rsidRPr="00A50F67">
        <w:rPr>
          <w:rFonts w:ascii="Times New Roman" w:eastAsia="Times New Roman" w:hAnsi="Times New Roman" w:cs="Times New Roman"/>
          <w:sz w:val="24"/>
          <w:szCs w:val="24"/>
        </w:rPr>
        <w:t>tax year 2010, offer tax incentives to smaller firms that cover stipulated expenses of insurance coverage for their employees. People are required to have health insurance, with some exceptions for economic difficulties or religious convictions. The requirement urges government (or multi-state) insurance markets to aid individuals</w:t>
      </w:r>
      <w:r w:rsidR="004D0B1E">
        <w:rPr>
          <w:rFonts w:ascii="Times New Roman" w:eastAsia="Times New Roman" w:hAnsi="Times New Roman" w:cs="Times New Roman"/>
          <w:sz w:val="24"/>
          <w:szCs w:val="24"/>
        </w:rPr>
        <w:t>,</w:t>
      </w:r>
      <w:bookmarkStart w:id="0" w:name="_GoBack"/>
      <w:bookmarkEnd w:id="0"/>
      <w:r w:rsidRPr="00A50F67">
        <w:rPr>
          <w:rFonts w:ascii="Times New Roman" w:eastAsia="Times New Roman" w:hAnsi="Times New Roman" w:cs="Times New Roman"/>
          <w:sz w:val="24"/>
          <w:szCs w:val="24"/>
        </w:rPr>
        <w:t xml:space="preserve"> and business businesses </w:t>
      </w:r>
      <w:r w:rsidR="004D0B1E">
        <w:rPr>
          <w:rFonts w:ascii="Times New Roman" w:eastAsia="Times New Roman" w:hAnsi="Times New Roman" w:cs="Times New Roman"/>
          <w:sz w:val="24"/>
          <w:szCs w:val="24"/>
        </w:rPr>
        <w:t>get</w:t>
      </w:r>
      <w:r w:rsidRPr="00A50F67">
        <w:rPr>
          <w:rFonts w:ascii="Times New Roman" w:eastAsia="Times New Roman" w:hAnsi="Times New Roman" w:cs="Times New Roman"/>
          <w:sz w:val="24"/>
          <w:szCs w:val="24"/>
        </w:rPr>
        <w:t xml:space="preserve"> insurance. Premium expenses will be restricted by government money to between 2% and 9.5 percent of income for those earning less than 133 percent of </w:t>
      </w:r>
      <w:r>
        <w:rPr>
          <w:rFonts w:ascii="Times New Roman" w:eastAsia="Times New Roman" w:hAnsi="Times New Roman" w:cs="Times New Roman"/>
          <w:sz w:val="24"/>
          <w:szCs w:val="24"/>
        </w:rPr>
        <w:t xml:space="preserve">the </w:t>
      </w:r>
      <w:r w:rsidRPr="00A50F67">
        <w:rPr>
          <w:rFonts w:ascii="Times New Roman" w:eastAsia="Times New Roman" w:hAnsi="Times New Roman" w:cs="Times New Roman"/>
          <w:sz w:val="24"/>
          <w:szCs w:val="24"/>
        </w:rPr>
        <w:t>federal poverty line</w:t>
      </w:r>
      <w:r>
        <w:rPr>
          <w:rFonts w:ascii="Times New Roman" w:eastAsia="Times New Roman" w:hAnsi="Times New Roman" w:cs="Times New Roman"/>
          <w:sz w:val="24"/>
          <w:szCs w:val="24"/>
        </w:rPr>
        <w:t>(</w:t>
      </w:r>
      <w:r>
        <w:rPr>
          <w:rFonts w:ascii="Arial" w:hAnsi="Arial" w:cs="Arial"/>
          <w:color w:val="222222"/>
          <w:sz w:val="20"/>
          <w:szCs w:val="20"/>
          <w:shd w:val="clear" w:color="auto" w:fill="FFFFFF"/>
        </w:rPr>
        <w:t>Coyle</w:t>
      </w:r>
      <w:r>
        <w:rPr>
          <w:rFonts w:ascii="Times New Roman" w:eastAsia="Times New Roman" w:hAnsi="Times New Roman" w:cs="Times New Roman"/>
          <w:sz w:val="24"/>
          <w:szCs w:val="24"/>
        </w:rPr>
        <w:t>,2019)</w:t>
      </w:r>
      <w:r w:rsidRPr="00A50F67">
        <w:rPr>
          <w:rFonts w:ascii="Times New Roman" w:eastAsia="Times New Roman" w:hAnsi="Times New Roman" w:cs="Times New Roman"/>
          <w:sz w:val="24"/>
          <w:szCs w:val="24"/>
        </w:rPr>
        <w:t>.</w:t>
      </w:r>
      <w:r w:rsidRPr="00A50F67">
        <w:rPr>
          <w:rFonts w:ascii="Times New Roman" w:hAnsi="Times New Roman" w:cs="Times New Roman"/>
          <w:sz w:val="24"/>
          <w:szCs w:val="24"/>
          <w:shd w:val="clear" w:color="auto" w:fill="FFFFFF"/>
        </w:rPr>
        <w:t xml:space="preserve"> Supplemental insurance reform efforts will enter into force on January 1, 2014, such as restrictions over most private insurance </w:t>
      </w:r>
      <w:r>
        <w:rPr>
          <w:rFonts w:ascii="Times New Roman" w:hAnsi="Times New Roman" w:cs="Times New Roman"/>
          <w:sz w:val="24"/>
          <w:szCs w:val="24"/>
          <w:shd w:val="clear" w:color="auto" w:fill="FFFFFF"/>
        </w:rPr>
        <w:t>except for</w:t>
      </w:r>
      <w:r w:rsidRPr="00A50F67">
        <w:rPr>
          <w:rFonts w:ascii="Times New Roman" w:hAnsi="Times New Roman" w:cs="Times New Roman"/>
          <w:sz w:val="24"/>
          <w:szCs w:val="24"/>
          <w:shd w:val="clear" w:color="auto" w:fill="FFFFFF"/>
        </w:rPr>
        <w:t xml:space="preserve"> preexisting conditions, going to discriminat</w:t>
      </w:r>
      <w:r>
        <w:rPr>
          <w:rFonts w:ascii="Times New Roman" w:hAnsi="Times New Roman" w:cs="Times New Roman"/>
          <w:sz w:val="24"/>
          <w:szCs w:val="24"/>
          <w:shd w:val="clear" w:color="auto" w:fill="FFFFFF"/>
        </w:rPr>
        <w:t>ion</w:t>
      </w:r>
      <w:r w:rsidRPr="00A50F67">
        <w:rPr>
          <w:rFonts w:ascii="Times New Roman" w:hAnsi="Times New Roman" w:cs="Times New Roman"/>
          <w:sz w:val="24"/>
          <w:szCs w:val="24"/>
          <w:shd w:val="clear" w:color="auto" w:fill="FFFFFF"/>
        </w:rPr>
        <w:t xml:space="preserve"> regarding health status, and attempting to impose value that it brings capital on media attention; and reform efforts requiring assured problem and regeneration of policy initiatives, top quality rating rules, anti</w:t>
      </w:r>
      <w:r>
        <w:rPr>
          <w:rFonts w:ascii="Times New Roman" w:hAnsi="Times New Roman" w:cs="Times New Roman"/>
          <w:sz w:val="24"/>
          <w:szCs w:val="24"/>
          <w:shd w:val="clear" w:color="auto" w:fill="FFFFFF"/>
        </w:rPr>
        <w:t>-</w:t>
      </w:r>
      <w:r w:rsidRPr="00A50F67">
        <w:rPr>
          <w:rFonts w:ascii="Times New Roman" w:hAnsi="Times New Roman" w:cs="Times New Roman"/>
          <w:sz w:val="24"/>
          <w:szCs w:val="24"/>
          <w:shd w:val="clear" w:color="auto" w:fill="FFFFFF"/>
        </w:rPr>
        <w:t>discrimination in advantages, and mental health and substance abuse parity.</w:t>
      </w:r>
    </w:p>
    <w:p w:rsidR="00A50F67" w:rsidRPr="00A50F67" w:rsidRDefault="00A50F67" w:rsidP="00A50F67">
      <w:pPr>
        <w:shd w:val="clear" w:color="auto" w:fill="FFFFFF"/>
        <w:spacing w:after="0" w:line="480" w:lineRule="auto"/>
        <w:ind w:left="-90" w:firstLine="810"/>
        <w:contextualSpacing/>
        <w:jc w:val="both"/>
        <w:textAlignment w:val="baseline"/>
        <w:rPr>
          <w:rFonts w:ascii="Times New Roman" w:eastAsia="Times New Roman" w:hAnsi="Times New Roman" w:cs="Times New Roman"/>
          <w:sz w:val="24"/>
          <w:szCs w:val="24"/>
        </w:rPr>
      </w:pPr>
      <w:r w:rsidRPr="00A50F67">
        <w:rPr>
          <w:rFonts w:ascii="Times New Roman" w:hAnsi="Times New Roman" w:cs="Times New Roman"/>
          <w:sz w:val="24"/>
          <w:szCs w:val="24"/>
          <w:shd w:val="clear" w:color="auto" w:fill="FFFFFF"/>
        </w:rPr>
        <w:lastRenderedPageBreak/>
        <w:t xml:space="preserve"> The Affordable Healthcare Act identifies workforce issues through a variety of provisions, such as reforms in master's degree medical education training, tends to increase in wellness vocation academic and loan initiatives, assistance for nurse skills training, and funding for future primary healthcare modeling techniques Healthcare homes and chronic condition team leadership, for instance; funding increases for health care facilities and the National Health System Contingents; and assistance for education medical clinics and caregiver health centers Key Provides numerous designed to address increasing healthcare spending include: increasing oversight of healthcare premiums and practices; emphasizing preventative measures, patient care, and treatments available; decrease health fraud and abuse; lowering unpaid labor taken to avoid a shift onto health coverage premium costs; fostering comparison shopping in insurance exchanges to create competition and cost controls; incorporating Medicare reimbursement reforms; and experimenting.</w:t>
      </w: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r w:rsidRPr="00A50F67">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endless public</w:t>
      </w:r>
      <w:r w:rsidRPr="00A50F67">
        <w:rPr>
          <w:rFonts w:ascii="Times New Roman" w:hAnsi="Times New Roman" w:cs="Times New Roman"/>
          <w:sz w:val="24"/>
          <w:szCs w:val="24"/>
          <w:shd w:val="clear" w:color="auto" w:fill="FFFFFF"/>
        </w:rPr>
        <w:t xml:space="preserve"> stream of anger over increasing healthcare costs reached a tipping point, with multiple scandals making big news. One such recent trend </w:t>
      </w:r>
      <w:r>
        <w:rPr>
          <w:rFonts w:ascii="Times New Roman" w:hAnsi="Times New Roman" w:cs="Times New Roman"/>
          <w:sz w:val="24"/>
          <w:szCs w:val="24"/>
          <w:shd w:val="clear" w:color="auto" w:fill="FFFFFF"/>
        </w:rPr>
        <w:t xml:space="preserve">was </w:t>
      </w:r>
      <w:r w:rsidRPr="00A50F67">
        <w:rPr>
          <w:rFonts w:ascii="Times New Roman" w:hAnsi="Times New Roman" w:cs="Times New Roman"/>
          <w:sz w:val="24"/>
          <w:szCs w:val="24"/>
          <w:shd w:val="clear" w:color="auto" w:fill="FFFFFF"/>
        </w:rPr>
        <w:t xml:space="preserve">when Turing Medicinal products upped the cost of </w:t>
      </w:r>
      <w:r>
        <w:rPr>
          <w:rFonts w:ascii="Times New Roman" w:hAnsi="Times New Roman" w:cs="Times New Roman"/>
          <w:sz w:val="24"/>
          <w:szCs w:val="24"/>
          <w:shd w:val="clear" w:color="auto" w:fill="FFFFFF"/>
        </w:rPr>
        <w:t>Dara</w:t>
      </w:r>
      <w:r w:rsidRPr="00A50F67">
        <w:rPr>
          <w:rFonts w:ascii="Times New Roman" w:hAnsi="Times New Roman" w:cs="Times New Roman"/>
          <w:sz w:val="24"/>
          <w:szCs w:val="24"/>
          <w:shd w:val="clear" w:color="auto" w:fill="FFFFFF"/>
        </w:rPr>
        <w:t>prim, a drug used by Hospital patients. Another incident involved Myla, the corporation that makes Pfizer's drug. The increased price of healthcare in the United States is starting to cause electorate concern, and cultural pressure is resulting in healthcare and regulatory oversight.</w:t>
      </w: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Pr="00A50F67" w:rsidRDefault="00A50F67" w:rsidP="00A50F67">
      <w:pPr>
        <w:shd w:val="clear" w:color="auto" w:fill="FFFFFF"/>
        <w:spacing w:after="0" w:line="480" w:lineRule="auto"/>
        <w:ind w:left="-90" w:firstLine="810"/>
        <w:contextualSpacing/>
        <w:jc w:val="center"/>
        <w:textAlignment w:val="baseline"/>
        <w:rPr>
          <w:rFonts w:ascii="Times New Roman" w:hAnsi="Times New Roman" w:cs="Times New Roman"/>
          <w:b/>
          <w:sz w:val="24"/>
          <w:szCs w:val="24"/>
          <w:shd w:val="clear" w:color="auto" w:fill="FFFFFF"/>
        </w:rPr>
      </w:pPr>
      <w:r w:rsidRPr="00A50F67">
        <w:rPr>
          <w:rFonts w:ascii="Times New Roman" w:hAnsi="Times New Roman" w:cs="Times New Roman"/>
          <w:b/>
          <w:sz w:val="24"/>
          <w:szCs w:val="24"/>
          <w:shd w:val="clear" w:color="auto" w:fill="FFFFFF"/>
        </w:rPr>
        <w:lastRenderedPageBreak/>
        <w:t>Reference</w:t>
      </w:r>
    </w:p>
    <w:p w:rsid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shd w:val="clear" w:color="auto" w:fill="FFFFFF"/>
        </w:rPr>
      </w:pPr>
    </w:p>
    <w:p w:rsidR="00A50F67" w:rsidRPr="00A50F67" w:rsidRDefault="00A50F67" w:rsidP="00A50F67">
      <w:pPr>
        <w:shd w:val="clear" w:color="auto" w:fill="FFFFFF"/>
        <w:spacing w:after="0" w:line="480" w:lineRule="auto"/>
        <w:ind w:left="-90" w:firstLine="810"/>
        <w:contextualSpacing/>
        <w:jc w:val="both"/>
        <w:textAlignment w:val="baseline"/>
        <w:rPr>
          <w:rFonts w:ascii="Times New Roman" w:hAnsi="Times New Roman" w:cs="Times New Roman"/>
          <w:sz w:val="24"/>
          <w:szCs w:val="24"/>
        </w:rPr>
      </w:pPr>
      <w:r>
        <w:rPr>
          <w:rFonts w:ascii="Arial" w:hAnsi="Arial" w:cs="Arial"/>
          <w:color w:val="222222"/>
          <w:sz w:val="20"/>
          <w:szCs w:val="20"/>
          <w:shd w:val="clear" w:color="auto" w:fill="FFFFFF"/>
        </w:rPr>
        <w:t>Coyle, B. M. (2019). Between Stars and Stripes: Regions for American Healthcare Reform.</w:t>
      </w:r>
    </w:p>
    <w:sectPr w:rsidR="00A50F67" w:rsidRPr="00A50F6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FA5" w:rsidRDefault="00062FA5" w:rsidP="00A50F67">
      <w:pPr>
        <w:spacing w:after="0" w:line="240" w:lineRule="auto"/>
      </w:pPr>
      <w:r>
        <w:separator/>
      </w:r>
    </w:p>
  </w:endnote>
  <w:endnote w:type="continuationSeparator" w:id="0">
    <w:p w:rsidR="00062FA5" w:rsidRDefault="00062FA5" w:rsidP="00A50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67" w:rsidRDefault="00A50F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67" w:rsidRDefault="00A50F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67" w:rsidRDefault="00A50F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FA5" w:rsidRDefault="00062FA5" w:rsidP="00A50F67">
      <w:pPr>
        <w:spacing w:after="0" w:line="240" w:lineRule="auto"/>
      </w:pPr>
      <w:r>
        <w:separator/>
      </w:r>
    </w:p>
  </w:footnote>
  <w:footnote w:type="continuationSeparator" w:id="0">
    <w:p w:rsidR="00062FA5" w:rsidRDefault="00062FA5" w:rsidP="00A50F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67" w:rsidRDefault="00A50F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2618118"/>
      <w:docPartObj>
        <w:docPartGallery w:val="Page Numbers (Top of Page)"/>
        <w:docPartUnique/>
      </w:docPartObj>
    </w:sdtPr>
    <w:sdtEndPr>
      <w:rPr>
        <w:noProof/>
      </w:rPr>
    </w:sdtEndPr>
    <w:sdtContent>
      <w:p w:rsidR="00A50F67" w:rsidRDefault="00A50F67">
        <w:pPr>
          <w:pStyle w:val="Header"/>
          <w:jc w:val="right"/>
        </w:pPr>
        <w:r>
          <w:fldChar w:fldCharType="begin"/>
        </w:r>
        <w:r>
          <w:instrText xml:space="preserve"> PAGE   \* MERGEFORMAT </w:instrText>
        </w:r>
        <w:r>
          <w:fldChar w:fldCharType="separate"/>
        </w:r>
        <w:r w:rsidR="007842BC">
          <w:rPr>
            <w:noProof/>
          </w:rPr>
          <w:t>2</w:t>
        </w:r>
        <w:r>
          <w:rPr>
            <w:noProof/>
          </w:rPr>
          <w:fldChar w:fldCharType="end"/>
        </w:r>
      </w:p>
    </w:sdtContent>
  </w:sdt>
  <w:p w:rsidR="00A50F67" w:rsidRDefault="00A50F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67" w:rsidRDefault="00A50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206236"/>
    <w:multiLevelType w:val="multilevel"/>
    <w:tmpl w:val="E956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yMzQ0sDS1MLQ0MDVV0lEKTi0uzszPAykwqgUAjNubgCwAAAA="/>
  </w:docVars>
  <w:rsids>
    <w:rsidRoot w:val="00A50F67"/>
    <w:rsid w:val="00062FA5"/>
    <w:rsid w:val="00315778"/>
    <w:rsid w:val="004D0B1E"/>
    <w:rsid w:val="007842BC"/>
    <w:rsid w:val="00A50F67"/>
    <w:rsid w:val="00AB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C0365-E15A-4F94-A4A4-AC6461E9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0F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50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67"/>
  </w:style>
  <w:style w:type="paragraph" w:styleId="Footer">
    <w:name w:val="footer"/>
    <w:basedOn w:val="Normal"/>
    <w:link w:val="FooterChar"/>
    <w:uiPriority w:val="99"/>
    <w:unhideWhenUsed/>
    <w:rsid w:val="00A50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074992">
      <w:bodyDiv w:val="1"/>
      <w:marLeft w:val="0"/>
      <w:marRight w:val="0"/>
      <w:marTop w:val="0"/>
      <w:marBottom w:val="0"/>
      <w:divBdr>
        <w:top w:val="none" w:sz="0" w:space="0" w:color="auto"/>
        <w:left w:val="none" w:sz="0" w:space="0" w:color="auto"/>
        <w:bottom w:val="none" w:sz="0" w:space="0" w:color="auto"/>
        <w:right w:val="none" w:sz="0" w:space="0" w:color="auto"/>
      </w:divBdr>
    </w:div>
    <w:div w:id="171326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C50785D-3E95-47B3-8B9D-A1ACAFFA9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2021-10-21T05:10:00Z</dcterms:created>
  <dcterms:modified xsi:type="dcterms:W3CDTF">2021-10-21T05:10:00Z</dcterms:modified>
</cp:coreProperties>
</file>